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民主国家公民投票制度与实施案例之研究</w:t>
      </w:r>
    </w:p>
    <w:p>
      <w:r>
        <w:rPr>
          <w:rFonts w:ascii="宋体" w:hAnsi="宋体" w:eastAsia="宋体"/>
          <w:sz w:val="24"/>
        </w:rPr>
        <w:t>李昌麟著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民主国家公民投票制度与实施案例之研究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冠唐国际图书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本书出售、求购地址：https://www.jiaokey.com/book/detail/13301693.html</w:t>
      </w:r>
    </w:p>
    <w:p>
      <w:r>
        <w:t>更多相关图书推荐：https://www.jiaokey.com</w:t>
      </w:r>
    </w:p>
    <w:p>
      <w:r>
        <w:t>李昌麟著 其他作品：https://www.jiaokey.com/tag/李昌麟著.html</w:t>
      </w:r>
    </w:p>
    <w:p>
      <w:r>
        <w:t>冠唐国际图书 出版图书：https://www.jiaokey.com/tag/冠唐国际图书.html</w:t>
      </w:r>
    </w:p>
    <w:p>
      <w:r>
        <w:t>关键词搜索：https://www.jiaokey.com/tag/民主国家公民投票制度与实施案例之研究.html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