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商丘县人物志  当代  卷2</w:t>
      </w:r>
    </w:p>
    <w:p>
      <w:r>
        <w:rPr>
          <w:rFonts w:ascii="宋体" w:hAnsi="宋体" w:eastAsia="宋体"/>
          <w:sz w:val="24"/>
        </w:rPr>
        <w:t>商丘县志总编室编；万济江主编；田秋霞，王心平副主编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商丘县人物志  当代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商丘县志总编室编；万济江主编；田秋霞，王心平副主编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本书出售、求购地址：https://www.jiaokey.com/book/detail/13309481.html</w:t>
      </w:r>
    </w:p>
    <w:p>
      <w:r>
        <w:t>更多相关图书推荐：https://www.jiaokey.com</w:t>
      </w:r>
    </w:p>
    <w:p>
      <w:r>
        <w:t>商丘县志总编室编；万济江主编；田秋霞，王心平副主编 其他作品：https://www.jiaokey.com/tag/商丘县志总编室编；万济江主编；田秋霞，王心平副主编.html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关键词搜索：https://www.jiaokey.com/tag/商丘县人物志  当代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