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成都武侯祠匾额对联注释  附武侯祠简介  塑造人物简介</w:t>
      </w:r>
    </w:p>
    <w:p>
      <w:r>
        <w:rPr>
          <w:rFonts w:ascii="宋体" w:hAnsi="宋体" w:eastAsia="宋体"/>
          <w:sz w:val="24"/>
        </w:rPr>
        <w:t>成都武侯祠博物馆编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成都武侯祠匾额对联注释  附武侯祠简介  塑造人物简介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成都武侯祠博物馆编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成都武侯祠博物馆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本书出售、求购地址：https://www.jiaokey.com/book/detail/13309822.html</w:t>
      </w:r>
    </w:p>
    <w:p>
      <w:r>
        <w:t>更多相关图书推荐：https://www.jiaokey.com</w:t>
      </w:r>
    </w:p>
    <w:p>
      <w:r>
        <w:t>成都武侯祠博物馆编 其他作品：https://www.jiaokey.com/tag/成都武侯祠博物馆编.html</w:t>
      </w:r>
    </w:p>
    <w:p>
      <w:r>
        <w:t>成都武侯祠博物馆 出版图书：https://www.jiaokey.com/tag/成都武侯祠博物馆.html</w:t>
      </w:r>
    </w:p>
    <w:p>
      <w:r>
        <w:t>关键词搜索：https://www.jiaokey.com/tag/成都武侯祠匾额对联注释  附武侯祠简介  塑造人物简介.html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