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麦茬水稻旱种栽培技术选编</w:t>
      </w:r>
    </w:p>
    <w:p>
      <w:r>
        <w:rPr>
          <w:rFonts w:ascii="宋体" w:hAnsi="宋体" w:eastAsia="宋体"/>
          <w:sz w:val="24"/>
        </w:rPr>
        <w:t>河南省科协普及工作部编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麦茬水稻旱种栽培技术选编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河南省科协普及工作部编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河南省科协普及工作部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本书出售、求购地址：https://www.jiaokey.com/book/detail/13319068.html</w:t>
      </w:r>
    </w:p>
    <w:p>
      <w:r>
        <w:t>更多相关图书推荐：https://www.jiaokey.com</w:t>
      </w:r>
    </w:p>
    <w:p>
      <w:r>
        <w:t>河南省科协普及工作部编 其他作品：https://www.jiaokey.com/tag/河南省科协普及工作部编.html</w:t>
      </w:r>
    </w:p>
    <w:p>
      <w:r>
        <w:t>河南省科协普及工作部 出版图书：https://www.jiaokey.com/tag/河南省科协普及工作部.html</w:t>
      </w:r>
    </w:p>
    <w:p>
      <w:r>
        <w:t>关键词搜索：https://www.jiaokey.com/tag/麦茬水稻旱种栽培技术选编.html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