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食品业废水前处理设施最佳流程及标准操作手册</w:t>
      </w:r>
    </w:p>
    <w:p>
      <w:r>
        <w:rPr>
          <w:rFonts w:ascii="宋体" w:hAnsi="宋体" w:eastAsia="宋体"/>
          <w:sz w:val="24"/>
        </w:rPr>
        <w:t>徐正中总编辑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食品业废水前处理设施最佳流程及标准操作手册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本书出售、求购地址：https://www.jiaokey.com/book/detail/13330593.html</w:t>
      </w:r>
    </w:p>
    <w:p>
      <w:r>
        <w:t>更多相关图书推荐：https://www.jiaokey.com</w:t>
      </w:r>
    </w:p>
    <w:p>
      <w:r>
        <w:t>徐正中总编辑 其他作品：https://www.jiaokey.com/tag/徐正中总编辑.html</w:t>
      </w:r>
    </w:p>
    <w:p>
      <w:r>
        <w:t>经济部工业局 出版图书：https://www.jiaokey.com/tag/经济部工业局.html</w:t>
      </w:r>
    </w:p>
    <w:p>
      <w:r>
        <w:t>关键词搜索：https://www.jiaokey.com/tag/食品业废水前处理设施最佳流程及标准操作手册.html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