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孩子为什么发怒</w:t>
      </w:r>
    </w:p>
    <w:p>
      <w:r>
        <w:rPr>
          <w:rFonts w:ascii="宋体" w:hAnsi="宋体" w:eastAsia="宋体"/>
          <w:sz w:val="24"/>
        </w:rPr>
        <w:t>（新西兰）帕德尼，（新西兰）怀特豪斯著；陈义君译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孩子为什么发怒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（新西兰）帕德尼，（新西兰）怀特豪斯著；陈义君译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本书出售、求购地址：https://www.jiaokey.com/book/detail/13360358.html</w:t>
      </w:r>
    </w:p>
    <w:p>
      <w:r>
        <w:t>更多相关图书推荐：https://www.jiaokey.com</w:t>
      </w:r>
    </w:p>
    <w:p>
      <w:r>
        <w:t>（新西兰）帕德尼，（新西兰）怀特豪斯著；陈义君译 其他作品：https://www.jiaokey.com/tag/（新西兰）帕德尼，（新西兰）怀特豪斯著；陈义君译.html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关键词搜索：https://www.jiaokey.com/tag/孩子为什么发怒.html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