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古琴艺术的机器演绎</w:t>
      </w:r>
    </w:p>
    <w:p>
      <w:r>
        <w:rPr>
          <w:rFonts w:ascii="宋体" w:hAnsi="宋体" w:eastAsia="宋体"/>
          <w:sz w:val="24"/>
        </w:rPr>
        <w:t>周昌乐著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古琴艺术的机器演绎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周昌乐著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科学出版社发行部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本书出售、求购地址：https://www.jiaokey.com/book/detail/13394530.html</w:t>
      </w:r>
    </w:p>
    <w:p>
      <w:r>
        <w:t>更多相关图书推荐：https://www.jiaokey.com</w:t>
      </w:r>
    </w:p>
    <w:p>
      <w:r>
        <w:t>周昌乐著 其他作品：https://www.jiaokey.com/tag/周昌乐著.html</w:t>
      </w:r>
    </w:p>
    <w:p>
      <w:r>
        <w:t>科学出版社发行部 出版图书：https://www.jiaokey.com/tag/科学出版社发行部.html</w:t>
      </w:r>
    </w:p>
    <w:p>
      <w:r>
        <w:t>关键词搜索：https://www.jiaokey.com/tag/古琴艺术的机器演绎.html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