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中国城市交通节能减排法律机制研究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中国城市交通节能减排法律机制研究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本书出售、求购地址：https://www.jiaokey.com/book/detail/13439455.html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关键词搜索：https://www.jiaokey.com/tag/中国城市交通节能减排法律机制研究.html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