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世界文明对话研究报告  2002-2012</w:t>
      </w:r>
    </w:p>
    <w:p>
      <w:r>
        <w:rPr>
          <w:rFonts w:ascii="宋体" w:hAnsi="宋体" w:eastAsia="宋体"/>
          <w:sz w:val="24"/>
        </w:rPr>
        <w:t>（中国）许嘉璐，（德国）孔汉思，（美国）杜维明，（加拿大）沈青松；尼山世界文明论坛组委会编著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世界文明对话研究报告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（中国）许嘉璐，（德国）孔汉思，（美国）杜维明，（加拿大）沈青松；尼山世界文明论坛组委会编著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本书出售、求购地址：https://www.jiaokey.com/book/detail/13465545.html</w:t>
      </w:r>
    </w:p>
    <w:p>
      <w:r>
        <w:t>更多相关图书推荐：https://www.jiaokey.com</w:t>
      </w:r>
    </w:p>
    <w:p>
      <w:r>
        <w:t>（中国）许嘉璐，（德国）孔汉思，（美国）杜维明，（加拿大）沈青松；尼山世界文明论坛组委会编著 其他作品：https://www.jiaokey.com/tag/（中国）许嘉璐，（德国）孔汉思，（美国）杜维明，（加拿大）沈青松；尼山世界文明论坛组委会编著.html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关键词搜索：https://www.jiaokey.com/tag/世界文明对话研究报告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