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毛岸英的故事</w:t>
      </w:r>
    </w:p>
    <w:p>
      <w:r>
        <w:rPr>
          <w:rFonts w:ascii="宋体" w:hAnsi="宋体" w:eastAsia="宋体"/>
          <w:sz w:val="24"/>
        </w:rPr>
        <w:t>王松主编；金昌永，韩永伟副主编；曲也直编文；禹宏敏绘画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王松主编；金昌永，韩永伟副主编；曲也直编文；禹宏敏绘画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本书出售、求购地址：https://www.jiaokey.com/book/detail/13477264.html</w:t>
      </w:r>
    </w:p>
    <w:p>
      <w:r>
        <w:t>更多相关图书推荐：https://www.jiaokey.com</w:t>
      </w:r>
    </w:p>
    <w:p>
      <w:r>
        <w:t>王松主编；金昌永，韩永伟副主编；曲也直编文；禹宏敏绘画 其他作品：https://www.jiaokey.com/tag/王松主编；金昌永，韩永伟副主编；曲也直编文；禹宏敏绘画.html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关键词搜索：https://www.jiaokey.com/tag/毛岸英的故事.html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