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2011</w:t>
      </w:r>
    </w:p>
    <w:p>
      <w:r>
        <w:rPr>
          <w:rFonts w:ascii="宋体" w:hAnsi="宋体" w:eastAsia="宋体"/>
          <w:sz w:val="24"/>
        </w:rPr>
        <w:t>卜宪群，杨振红主编；中国社会科学院简帛研究中心，中国社科院历史所秦汉魏晋南北朝堂编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卜宪群，杨振红主编；中国社会科学院简帛研究中心，中国社科院历史所秦汉魏晋南北朝堂编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本书出售、求购地址：https://www.jiaokey.com/book/detail/13480355.html</w:t>
      </w:r>
    </w:p>
    <w:p>
      <w:r>
        <w:t>更多相关图书推荐：https://www.jiaokey.com</w:t>
      </w:r>
    </w:p>
    <w:p>
      <w:r>
        <w:t>卜宪群，杨振红主编；中国社会科学院简帛研究中心，中国社科院历史所秦汉魏晋南北朝堂编 其他作品：https://www.jiaokey.com/tag/卜宪群，杨振红主编；中国社会科学院简帛研究中心，中国社科院历史所秦汉魏晋南北朝堂编.html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