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雷达引信原理</w:t>
      </w:r>
    </w:p>
    <w:p>
      <w:r>
        <w:rPr>
          <w:rFonts w:ascii="宋体" w:hAnsi="宋体" w:eastAsia="宋体"/>
          <w:sz w:val="24"/>
        </w:rPr>
        <w:t>（苏）и.м.柯甘著；华恭，兴华合译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雷达引信原理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（苏）и.м.柯甘著；华恭，兴华合译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本书出售、求购地址：https://www.jiaokey.com/book/detail/13487550.html</w:t>
      </w:r>
    </w:p>
    <w:p>
      <w:r>
        <w:t>更多相关图书推荐：https://www.jiaokey.com</w:t>
      </w:r>
    </w:p>
    <w:p>
      <w:r>
        <w:t>（苏）и.м.柯甘著；华恭，兴华合译 其他作品：https://www.jiaokey.com/tag/（苏）и.м.柯甘著；华恭，兴华合译.html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关键词搜索：https://www.jiaokey.com/tag/雷达引信原理.html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