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高校素质教育教材编审委员会审定  公共事务项目管理</w:t>
      </w:r>
    </w:p>
    <w:p>
      <w:r>
        <w:rPr>
          <w:rFonts w:ascii="宋体" w:hAnsi="宋体" w:eastAsia="宋体"/>
          <w:sz w:val="24"/>
        </w:rPr>
        <w:t>许康，郭毅夫，高开颜，姜明编著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高校素质教育教材编审委员会审定  公共事务项目管理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许康，郭毅夫，高开颜，姜明编著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本书出售、求购地址：https://www.jiaokey.com/book/detail/13494303.html</w:t>
      </w:r>
    </w:p>
    <w:p>
      <w:r>
        <w:t>更多相关图书推荐：https://www.jiaokey.com</w:t>
      </w:r>
    </w:p>
    <w:p>
      <w:r>
        <w:t>许康，郭毅夫，高开颜，姜明编著 其他作品：https://www.jiaokey.com/tag/许康，郭毅夫，高开颜，姜明编著.html</w:t>
      </w:r>
    </w:p>
    <w:p>
      <w:r>
        <w:t>中国教育文化出版社 出版图书：https://www.jiaokey.com/tag/中国教育文化出版社.html</w:t>
      </w:r>
    </w:p>
    <w:p>
      <w:r>
        <w:t>关键词搜索：https://www.jiaokey.com/tag/高校素质教育教材编审委员会审定  公共事务项目管理.html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