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论战后补偿的合理性</w:t>
      </w:r>
    </w:p>
    <w:p>
      <w:r>
        <w:rPr>
          <w:rFonts w:ascii="宋体" w:hAnsi="宋体" w:eastAsia="宋体"/>
          <w:sz w:val="24"/>
        </w:rPr>
        <w:t>高木健一著；郑海麟译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论战后补偿的合理性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高木健一著；郑海麟译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问津堂书局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本书出售、求购地址：https://www.jiaokey.com/book/detail/13530228.html</w:t>
      </w:r>
    </w:p>
    <w:p>
      <w:r>
        <w:t>更多相关图书推荐：https://www.jiaokey.com</w:t>
      </w:r>
    </w:p>
    <w:p>
      <w:r>
        <w:t>高木健一著；郑海麟译 其他作品：https://www.jiaokey.com/tag/高木健一著；郑海麟译.html</w:t>
      </w:r>
    </w:p>
    <w:p>
      <w:r>
        <w:t>问津堂书局 出版图书：https://www.jiaokey.com/tag/问津堂书局.html</w:t>
      </w:r>
    </w:p>
    <w:p>
      <w:r>
        <w:t>关键词搜索：https://www.jiaokey.com/tag/论战后补偿的合理性.html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