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古今奇观</w:t>
      </w:r>
    </w:p>
    <w:p>
      <w:r>
        <w:rPr>
          <w:rFonts w:ascii="宋体" w:hAnsi="宋体" w:eastAsia="宋体"/>
          <w:sz w:val="24"/>
        </w:rPr>
        <w:t>（明）抱翁老人；林海音改写；陈正雄插图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（明）抱翁老人；林海音改写；陈正雄插图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本书出售、求购地址：https://www.jiaokey.com/book/detail/13534663.html</w:t>
      </w:r>
    </w:p>
    <w:p>
      <w:r>
        <w:t>更多相关图书推荐：https://www.jiaokey.com</w:t>
      </w:r>
    </w:p>
    <w:p>
      <w:r>
        <w:t>（明）抱翁老人；林海音改写；陈正雄插图 其他作品：https://www.jiaokey.com/tag/（明）抱翁老人；林海音改写；陈正雄插图.html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关键词搜索：https://www.jiaokey.com/tag/古今奇观.html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