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MRI诊断与临床  中枢神经、头颈及骨骼肌肉</w:t>
      </w:r>
    </w:p>
    <w:p>
      <w:r>
        <w:rPr>
          <w:rFonts w:ascii="宋体" w:hAnsi="宋体" w:eastAsia="宋体"/>
          <w:sz w:val="24"/>
        </w:rPr>
        <w:t>郑穗生，刘斌总主编；翟建，张金平，王龙胜，钱银锋主编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MRI诊断与临床  中枢神经、头颈及骨骼肌肉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郑穗生，刘斌总主编；翟建，张金平，王龙胜，钱银锋主编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本书出售、求购地址：https://www.jiaokey.com/book/detail/13535680.html</w:t>
      </w:r>
    </w:p>
    <w:p>
      <w:r>
        <w:t>更多相关图书推荐：https://www.jiaokey.com</w:t>
      </w:r>
    </w:p>
    <w:p>
      <w:r>
        <w:t>郑穗生，刘斌总主编；翟建，张金平，王龙胜，钱银锋主编 其他作品：https://www.jiaokey.com/tag/郑穗生，刘斌总主编；翟建，张金平，王龙胜，钱银锋主编.html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关键词搜索：https://www.jiaokey.com/tag/MRI诊断与临床  中枢神经、头颈及骨骼肌肉.html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