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香港性别平等教育研究报告</w:t>
      </w:r>
    </w:p>
    <w:p>
      <w:r>
        <w:rPr>
          <w:rFonts w:ascii="宋体" w:hAnsi="宋体" w:eastAsia="宋体"/>
          <w:sz w:val="24"/>
        </w:rPr>
        <w:t>吴惠贞，赵维生编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香港性别平等教育研究报告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吴惠贞，赵维生编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关注妇女性暴力协会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本书出售、求购地址：https://www.jiaokey.com/book/detail/13540977.html</w:t>
      </w:r>
    </w:p>
    <w:p>
      <w:r>
        <w:t>更多相关图书推荐：https://www.jiaokey.com</w:t>
      </w:r>
    </w:p>
    <w:p>
      <w:r>
        <w:t>吴惠贞，赵维生编 其他作品：https://www.jiaokey.com/tag/吴惠贞，赵维生编.html</w:t>
      </w:r>
    </w:p>
    <w:p>
      <w:r>
        <w:t>关注妇女性暴力协会 出版图书：https://www.jiaokey.com/tag/关注妇女性暴力协会.html</w:t>
      </w:r>
    </w:p>
    <w:p>
      <w:r>
        <w:t>关键词搜索：https://www.jiaokey.com/tag/香港性别平等教育研究报告.html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