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国防科工委“十五”规划教材·动力机械及工程热物理 航空发动机控制 下册 系统部分</w:t>
      </w:r>
    </w:p>
    <w:p>
      <w:r>
        <w:rPr>
          <w:rFonts w:ascii="宋体" w:hAnsi="宋体" w:eastAsia="宋体"/>
          <w:sz w:val="24"/>
        </w:rPr>
        <w:t>樊思齐主编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国防科工委“十五”规划教材·动力机械及工程热物理 航空发动机控制 下册 系统部分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樊思齐主编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本书出售、求购地址：https://www.jiaokey.com/book/detail/13559455.html</w:t>
      </w:r>
    </w:p>
    <w:p>
      <w:r>
        <w:t>更多相关图书推荐：https://www.jiaokey.com</w:t>
      </w:r>
    </w:p>
    <w:p>
      <w:r>
        <w:t>樊思齐主编 其他作品：https://www.jiaokey.com/tag/樊思齐主编.html</w:t>
      </w:r>
    </w:p>
    <w:p>
      <w:r>
        <w:t>关键词搜索：https://www.jiaokey.com/tag/国防科工委“十五”规划教材·动力机械及工程热物理 航空发动机控制 下册 系统部分.html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