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柳韩金佰利的经营之道</w:t>
      </w:r>
    </w:p>
    <w:p>
      <w:r>
        <w:rPr>
          <w:rFonts w:ascii="宋体" w:hAnsi="宋体" w:eastAsia="宋体"/>
          <w:sz w:val="24"/>
        </w:rPr>
        <w:t>（韩）文国现，赵东成，IDS&amp;Associates资询公司著；李征龙译；明德知行管理咨询公司审校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柳韩金佰利的经营之道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（韩）文国现，赵东成，IDS&amp;Associates资询公司著；李征龙译；明德知行管理咨询公司审校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本书出售、求购地址：https://www.jiaokey.com/book/detail/13587748.html</w:t>
      </w:r>
    </w:p>
    <w:p>
      <w:r>
        <w:t>更多相关图书推荐：https://www.jiaokey.com</w:t>
      </w:r>
    </w:p>
    <w:p>
      <w:r>
        <w:t>（韩）文国现，赵东成，IDS&amp;Associates资询公司著；李征龙译；明德知行管理咨询公司审校 其他作品：https://www.jiaokey.com/tag/（韩）文国现，赵东成，IDS&amp;Associates资询公司著；李征龙译；明德知行管理咨询公司审校.html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关键词搜索：https://www.jiaokey.com/tag/柳韩金佰利的经营之道.html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