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充分发挥党史工作资政育人作用推进党史工作新发展：全国党史部门2004年工作总结及2005年工作初步打算</w:t>
      </w:r>
    </w:p>
    <w:p>
      <w:r>
        <w:rPr>
          <w:rFonts w:ascii="宋体" w:hAnsi="宋体" w:eastAsia="宋体"/>
          <w:sz w:val="24"/>
        </w:rPr>
        <w:t>中共党史研究室科研管理部编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充分发挥党史工作资政育人作用推进党史工作新发展：全国党史部门2004年工作总结及2005年工作初步打算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本书出售、求购地址：https://www.jiaokey.com/book/detail/13600446.html</w:t>
      </w:r>
    </w:p>
    <w:p>
      <w:r>
        <w:t>更多相关图书推荐：https://www.jiaokey.com</w:t>
      </w:r>
    </w:p>
    <w:p>
      <w:r>
        <w:t>中共党史研究室科研管理部编 其他作品：https://www.jiaokey.com/tag/中共党史研究室科研管理部编.html</w:t>
      </w:r>
    </w:p>
    <w:p>
      <w:r>
        <w:t>关键词搜索：https://www.jiaokey.com/tag/充分发挥党史工作资政育人作用推进党史工作新发展：全国党史部门2004年工作总结及2005年工作初步打算.html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