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工业企业风险动态预警及全面管理研究：以浙江省为例</w:t>
      </w:r>
    </w:p>
    <w:p>
      <w:r>
        <w:rPr>
          <w:rFonts w:ascii="宋体" w:hAnsi="宋体" w:eastAsia="宋体"/>
          <w:sz w:val="24"/>
        </w:rPr>
        <w:t>范柏乃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工业企业风险动态预警及全面管理研究：以浙江省为例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本书出售、求购地址：https://www.jiaokey.com/book/detail/13616033.html</w:t>
      </w:r>
    </w:p>
    <w:p>
      <w:r>
        <w:t>更多相关图书推荐：https://www.jiaokey.com</w:t>
      </w:r>
    </w:p>
    <w:p>
      <w:r>
        <w:t>范柏乃 其他作品：https://www.jiaokey.com/tag/范柏乃.html</w:t>
      </w:r>
    </w:p>
    <w:p>
      <w:r>
        <w:t>关键词搜索：https://www.jiaokey.com/tag/工业企业风险动态预警及全面管理研究：以浙江省为例.html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