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</w:t>
      </w:r>
    </w:p>
    <w:p>
      <w:r>
        <w:rPr>
          <w:rFonts w:ascii="宋体" w:hAnsi="宋体" w:eastAsia="宋体"/>
          <w:sz w:val="24"/>
        </w:rPr>
        <w:t>彭晓霞，冯福民主编；韩松，任泽舫，余红平副主编；冯福民，彭晓霞，韩松等编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彭晓霞，冯福民主编；韩松，任泽舫，余红平副主编；冯福民，彭晓霞，韩松等编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本书出售、求购地址：https://www.jiaokey.com/book/detail/13616775.html</w:t>
      </w:r>
    </w:p>
    <w:p>
      <w:r>
        <w:t>更多相关图书推荐：https://www.jiaokey.com</w:t>
      </w:r>
    </w:p>
    <w:p>
      <w:r>
        <w:t>彭晓霞，冯福民主编；韩松，任泽舫，余红平副主编；冯福民，彭晓霞，韩松等编 其他作品：https://www.jiaokey.com/tag/彭晓霞，冯福民主编；韩松，任泽舫，余红平副主编；冯福民，彭晓霞，韩松等编.html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