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无线电法国别研究</w:t>
      </w:r>
    </w:p>
    <w:p>
      <w:r>
        <w:rPr>
          <w:rFonts w:ascii="宋体" w:hAnsi="宋体" w:eastAsia="宋体"/>
          <w:sz w:val="24"/>
        </w:rPr>
        <w:t>龙卫球，夏春利主编；龙卫球，丁道勤，李吴，夏春利，谭华霖，毕洪海，周学峰，蔡宗霖撰稿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无线电法国别研究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龙卫球，夏春利主编；龙卫球，丁道勤，李吴，夏春利，谭华霖，毕洪海，周学峰，蔡宗霖撰稿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本书出售、求购地址：https://www.jiaokey.com/book/detail/13625427.html</w:t>
      </w:r>
    </w:p>
    <w:p>
      <w:r>
        <w:t>更多相关图书推荐：https://www.jiaokey.com</w:t>
      </w:r>
    </w:p>
    <w:p>
      <w:r>
        <w:t>龙卫球，夏春利主编；龙卫球，丁道勤，李吴，夏春利，谭华霖，毕洪海，周学峰，蔡宗霖撰稿 其他作品：https://www.jiaokey.com/tag/龙卫球，夏春利主编；龙卫球，丁道勤，李吴，夏春利，谭华霖，毕洪海，周学峰，蔡宗霖撰稿.html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关键词搜索：https://www.jiaokey.com/tag/无线电法国别研究.html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