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  课程设计任务及指示书  民用建筑部分</w:t>
      </w:r>
    </w:p>
    <w:p>
      <w:r>
        <w:rPr>
          <w:rFonts w:ascii="宋体" w:hAnsi="宋体" w:eastAsia="宋体"/>
          <w:sz w:val="24"/>
        </w:rPr>
        <w:t>刘沛藩编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  课程设计任务及指示书  民用建筑部分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刘沛藩编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昆明工学院工民建教研室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本书出售、求购地址：https://www.jiaokey.com/book/detail/13626370.html</w:t>
      </w:r>
    </w:p>
    <w:p>
      <w:r>
        <w:t>更多相关图书推荐：https://www.jiaokey.com</w:t>
      </w:r>
    </w:p>
    <w:p>
      <w:r>
        <w:t>刘沛藩编 其他作品：https://www.jiaokey.com/tag/刘沛藩编.html</w:t>
      </w:r>
    </w:p>
    <w:p>
      <w:r>
        <w:t>昆明工学院工民建教研室 出版图书：https://www.jiaokey.com/tag/昆明工学院工民建教研室.html</w:t>
      </w:r>
    </w:p>
    <w:p>
      <w:r>
        <w:t>关键词搜索：https://www.jiaokey.com/tag/房屋建筑学  课程设计任务及指示书  民用建筑部分.html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