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城市电视媒体的战略抉择</w:t>
      </w:r>
    </w:p>
    <w:p>
      <w:r>
        <w:rPr>
          <w:rFonts w:ascii="宋体" w:hAnsi="宋体" w:eastAsia="宋体"/>
          <w:sz w:val="24"/>
        </w:rPr>
        <w:t>吕值友，雷喜梅主编；李彤路，于晓焰，胡桂林等副主编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城市电视媒体的战略抉择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吕值友，雷喜梅主编；李彤路，于晓焰，胡桂林等副主编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本书出售、求购地址：https://www.jiaokey.com/book/detail/13627562.html</w:t>
      </w:r>
    </w:p>
    <w:p>
      <w:r>
        <w:t>更多相关图书推荐：https://www.jiaokey.com</w:t>
      </w:r>
    </w:p>
    <w:p>
      <w:r>
        <w:t>吕值友，雷喜梅主编；李彤路，于晓焰，胡桂林等副主编 其他作品：https://www.jiaokey.com/tag/吕值友，雷喜梅主编；李彤路，于晓焰，胡桂林等副主编.html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关键词搜索：https://www.jiaokey.com/tag/城市电视媒体的战略抉择.html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