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图解欧姆龙PLC编程108例</w:t>
      </w:r>
    </w:p>
    <w:p>
      <w:r>
        <w:rPr>
          <w:rFonts w:ascii="宋体" w:hAnsi="宋体" w:eastAsia="宋体"/>
          <w:sz w:val="24"/>
        </w:rPr>
        <w:t>公利滨主编；张智贤，高俊山副主编；杜洪越，张颖，齐丽华，殷松参编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图解欧姆龙PLC编程108例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公利滨主编；张智贤，高俊山副主编；杜洪越，张颖，齐丽华，殷松参编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本书出售、求购地址：https://www.jiaokey.com/book/detail/13628642.html</w:t>
      </w:r>
    </w:p>
    <w:p>
      <w:r>
        <w:t>更多相关图书推荐：https://www.jiaokey.com</w:t>
      </w:r>
    </w:p>
    <w:p>
      <w:r>
        <w:t>公利滨主编；张智贤，高俊山副主编；杜洪越，张颖，齐丽华，殷松参编 其他作品：https://www.jiaokey.com/tag/公利滨主编；张智贤，高俊山副主编；杜洪越，张颖，齐丽华，殷松参编.html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关键词搜索：https://www.jiaokey.com/tag/图解欧姆龙PLC编程108例.html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