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数位广告  过去、现在、未来</w:t>
      </w:r>
    </w:p>
    <w:p>
      <w:r>
        <w:rPr>
          <w:rFonts w:ascii="宋体" w:hAnsi="宋体" w:eastAsia="宋体"/>
          <w:sz w:val="24"/>
        </w:rPr>
        <w:t>Creative Social著；Daniele Fiandaca，Patrick Burgoyne编；赖治怡编译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数位广告  过去、现在、未来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Social著；Daniele Fiandaca，Patrick Burgoyne编；赖治怡编译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小鱼广告网工作室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本书出售、求购地址：https://www.jiaokey.com/book/detail/13629086.html</w:t>
      </w:r>
    </w:p>
    <w:p>
      <w:r>
        <w:t>更多相关图书推荐：https://www.jiaokey.com</w:t>
      </w:r>
    </w:p>
    <w:p>
      <w:r>
        <w:t>Creative Social著；Daniele Fiandaca，Patrick Burgoyne编；赖治怡编译 其他作品：https://www.jiaokey.com/tag/Creative Social著；Daniele Fiandaca，Patrick Burgoyne编；赖治怡编译.html</w:t>
      </w:r>
    </w:p>
    <w:p>
      <w:r>
        <w:t>小鱼广告网工作室 出版图书：https://www.jiaokey.com/tag/小鱼广告网工作室.html</w:t>
      </w:r>
    </w:p>
    <w:p>
      <w:r>
        <w:t>关键词搜索：https://www.jiaokey.com/tag/数位广告  过去、现在、未来.html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