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统战理论创新与参政议政实践  2003-2011年华中师范大学统一战线工作</w:t>
      </w:r>
    </w:p>
    <w:p>
      <w:r>
        <w:rPr>
          <w:rFonts w:ascii="宋体" w:hAnsi="宋体" w:eastAsia="宋体"/>
          <w:sz w:val="24"/>
        </w:rPr>
        <w:t>陈胜兰主编；邓鸿光，龚胜生副主编；吴晋生主审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统战理论创新与参政议政实践  2003-2011年华中师范大学统一战线工作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陈胜兰主编；邓鸿光，龚胜生副主编；吴晋生主审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本书出售、求购地址：https://www.jiaokey.com/book/detail/13629424.html</w:t>
      </w:r>
    </w:p>
    <w:p>
      <w:r>
        <w:t>更多相关图书推荐：https://www.jiaokey.com</w:t>
      </w:r>
    </w:p>
    <w:p>
      <w:r>
        <w:t>陈胜兰主编；邓鸿光，龚胜生副主编；吴晋生主审 其他作品：https://www.jiaokey.com/tag/陈胜兰主编；邓鸿光，龚胜生副主编；吴晋生主审.html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关键词搜索：https://www.jiaokey.com/tag/统战理论创新与参政议政实践  2003-2011年华中师范大学统一战线工作.html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