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通向统一之路</w:t>
      </w:r>
    </w:p>
    <w:p>
      <w:r>
        <w:rPr>
          <w:rFonts w:ascii="宋体" w:hAnsi="宋体" w:eastAsia="宋体"/>
          <w:sz w:val="24"/>
        </w:rPr>
        <w:t>（德）里夏德·冯·魏茨泽克著；孟虹译；李莉娜校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通向统一之路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（德）里夏德·冯·魏茨泽克著；孟虹译；李莉娜校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本书出售、求购地址：https://www.jiaokey.com/book/detail/13631190.html</w:t>
      </w:r>
    </w:p>
    <w:p>
      <w:r>
        <w:t>更多相关图书推荐：https://www.jiaokey.com</w:t>
      </w:r>
    </w:p>
    <w:p>
      <w:r>
        <w:t>（德）里夏德·冯·魏茨泽克著；孟虹译；李莉娜校 其他作品：https://www.jiaokey.com/tag/（德）里夏德·冯·魏茨泽克著；孟虹译；李莉娜校.html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关键词搜索：https://www.jiaokey.com/tag/通向统一之路.html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