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灾害预防和处理计划的编制</w:t>
      </w:r>
    </w:p>
    <w:p>
      <w:r>
        <w:rPr>
          <w:rFonts w:ascii="宋体" w:hAnsi="宋体" w:eastAsia="宋体"/>
          <w:sz w:val="24"/>
        </w:rPr>
        <w:t>常达编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灾害预防和处理计划的编制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长沙煤矿安全技术培训中心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本书出售、求购地址：https://www.jiaokey.com/book/detail/13632243.html</w:t>
      </w:r>
    </w:p>
    <w:p>
      <w:r>
        <w:t>更多相关图书推荐：https://www.jiaokey.com</w:t>
      </w:r>
    </w:p>
    <w:p>
      <w:r>
        <w:t>常达编 其他作品：https://www.jiaokey.com/tag/常达编.html</w:t>
      </w:r>
    </w:p>
    <w:p>
      <w:r>
        <w:t>长沙煤矿安全技术培训中心 出版图书：https://www.jiaokey.com/tag/长沙煤矿安全技术培训中心.html</w:t>
      </w:r>
    </w:p>
    <w:p>
      <w:r>
        <w:t>关键词搜索：https://www.jiaokey.com/tag/灾害预防和处理计划的编制.html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