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创四川  四川之创始  创伤与再创</w:t>
      </w:r>
    </w:p>
    <w:p>
      <w:r>
        <w:rPr>
          <w:rFonts w:ascii="宋体" w:hAnsi="宋体" w:eastAsia="宋体"/>
          <w:sz w:val="24"/>
        </w:rPr>
        <w:t>唐建光主编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创四川  四川之创始  创伤与再创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本书出售、求购地址：https://www.jiaokey.com/book/detail/13637903.html</w:t>
      </w:r>
    </w:p>
    <w:p>
      <w:r>
        <w:t>更多相关图书推荐：https://www.jiaokey.com</w:t>
      </w:r>
    </w:p>
    <w:p>
      <w:r>
        <w:t>唐建光主编 其他作品：https://www.jiaokey.com/tag/唐建光主编.html</w:t>
      </w:r>
    </w:p>
    <w:p>
      <w:r>
        <w:t>龙图腾文化 出版图书：https://www.jiaokey.com/tag/龙图腾文化.html</w:t>
      </w:r>
    </w:p>
    <w:p>
      <w:r>
        <w:t>关键词搜索：https://www.jiaokey.com/tag/创四川  四川之创始  创伤与再创.html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