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行政行为可诉性研究  理论重构与制度重构的对接</w:t>
      </w:r>
    </w:p>
    <w:p>
      <w:r>
        <w:rPr>
          <w:rFonts w:ascii="宋体" w:hAnsi="宋体" w:eastAsia="宋体"/>
          <w:sz w:val="24"/>
        </w:rPr>
        <w:t>茅铭晨著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行政行为可诉性研究  理论重构与制度重构的对接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本书出售、求购地址：https://www.jiaokey.com/book/detail/13639142.html</w:t>
      </w:r>
    </w:p>
    <w:p>
      <w:r>
        <w:t>更多相关图书推荐：https://www.jiaokey.com</w:t>
      </w:r>
    </w:p>
    <w:p>
      <w:r>
        <w:t>茅铭晨著 其他作品：https://www.jiaokey.com/tag/茅铭晨著.html</w:t>
      </w:r>
    </w:p>
    <w:p>
      <w:r>
        <w:t>关键词搜索：https://www.jiaokey.com/tag/行政行为可诉性研究  理论重构与制度重构的对接.html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