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</w:t>
      </w:r>
    </w:p>
    <w:p>
      <w:r>
        <w:rPr>
          <w:rFonts w:ascii="宋体" w:hAnsi="宋体" w:eastAsia="宋体"/>
          <w:sz w:val="24"/>
        </w:rPr>
        <w:t>魏永辉，顾军，周艳丽，葛惠弘主编；张倩，黄春生，罗美娅副主编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魏永辉，顾军，周艳丽，葛惠弘主编；张倩，黄春生，罗美娅副主编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本书出售、求购地址：https://www.jiaokey.com/book/detail/13640984.html</w:t>
      </w:r>
    </w:p>
    <w:p>
      <w:r>
        <w:t>更多相关图书推荐：https://www.jiaokey.com</w:t>
      </w:r>
    </w:p>
    <w:p>
      <w:r>
        <w:t>魏永辉，顾军，周艳丽，葛惠弘主编；张倩，黄春生，罗美娅副主编 其他作品：https://www.jiaokey.com/tag/魏永辉，顾军，周艳丽，葛惠弘主编；张倩，黄春生，罗美娅副主编.html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关键词搜索：https://www.jiaokey.com/tag/税收基础.html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