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  构建和谐衡阳</w:t>
      </w:r>
    </w:p>
    <w:p>
      <w:r>
        <w:rPr>
          <w:rFonts w:ascii="宋体" w:hAnsi="宋体" w:eastAsia="宋体"/>
          <w:sz w:val="24"/>
        </w:rPr>
        <w:t>中共衡阳市委办公室编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  构建和谐衡阳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中共衡阳市委办公室编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中共衡阳市委办公室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本书出售、求购地址：https://www.jiaokey.com/book/detail/13641012.html</w:t>
      </w:r>
    </w:p>
    <w:p>
      <w:r>
        <w:t>更多相关图书推荐：https://www.jiaokey.com</w:t>
      </w:r>
    </w:p>
    <w:p>
      <w:r>
        <w:t>中共衡阳市委办公室编 其他作品：https://www.jiaokey.com/tag/中共衡阳市委办公室编.html</w:t>
      </w:r>
    </w:p>
    <w:p>
      <w:r>
        <w:t>中共衡阳市委办公室 出版图书：https://www.jiaokey.com/tag/中共衡阳市委办公室.html</w:t>
      </w:r>
    </w:p>
    <w:p>
      <w:r>
        <w:t>关键词搜索：https://www.jiaokey.com/tag/落实科学发展观  构建和谐衡阳.html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