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书名：大侠魂为三民主义之动力</w:t>
      </w:r>
    </w:p>
    <w:p>
      <w:r>
        <w:t>作者：铸魂学社编辑；殷震夏著；安若定校阅</w:t>
      </w:r>
    </w:p>
    <w:p>
      <w:r>
        <w:t>出版社：铸魂书局</w:t>
      </w:r>
    </w:p>
    <w:p>
      <w:r>
        <w:t>出版日期：1934</w:t>
      </w:r>
    </w:p>
    <w:p>
      <w:r>
        <w:t>总页数：38</w:t>
      </w:r>
    </w:p>
    <w:p>
      <w:r>
        <w:t>更多请访问教客网: www.jiaokey.com</w:t>
      </w:r>
    </w:p>
    <w:p>
      <w:r>
        <w:t>大侠魂为三民主义之动力 评论地址：https://www.jiaokey.com/book/detail/13649822.html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