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期权波动率与定价 高级交易策略与技巧</w:t>
      </w:r>
    </w:p>
    <w:p>
      <w:r>
        <w:rPr>
          <w:rFonts w:ascii="宋体" w:hAnsi="宋体" w:eastAsia="宋体"/>
          <w:sz w:val="24"/>
        </w:rPr>
        <w:t>（美）谢尔登·纳坦恩伯格著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期权波动率与定价 高级交易策略与技巧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（美）谢尔登·纳坦恩伯格著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本书出售、求购地址：https://www.jiaokey.com/book/detail/13655115.html</w:t>
      </w:r>
    </w:p>
    <w:p>
      <w:r>
        <w:t>更多相关图书推荐：https://www.jiaokey.com</w:t>
      </w:r>
    </w:p>
    <w:p>
      <w:r>
        <w:t>（美）谢尔登·纳坦恩伯格著 其他作品：https://www.jiaokey.com/tag/（美）谢尔登·纳坦恩伯格著.html</w:t>
      </w:r>
    </w:p>
    <w:p>
      <w:r>
        <w:t>关键词搜索：https://www.jiaokey.com/tag/期权波动率与定价 高级交易策略与技巧.html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