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液压传动与控制</w:t>
      </w:r>
    </w:p>
    <w:p>
      <w:r>
        <w:rPr>
          <w:rFonts w:ascii="宋体" w:hAnsi="宋体" w:eastAsia="宋体"/>
          <w:sz w:val="24"/>
        </w:rPr>
        <w:t>王同建主编；张萃，陈伟副主编；陈晋市，王昕，宁悦参编；刘昕晖主审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王同建主编；张萃，陈伟副主编；陈晋市，王昕，宁悦参编；刘昕晖主审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本书出售、求购地址：https://www.jiaokey.com/book/detail/13655229.html</w:t>
      </w:r>
    </w:p>
    <w:p>
      <w:r>
        <w:t>更多相关图书推荐：https://www.jiaokey.com</w:t>
      </w:r>
    </w:p>
    <w:p>
      <w:r>
        <w:t>王同建主编；张萃，陈伟副主编；陈晋市，王昕，宁悦参编；刘昕晖主审 其他作品：https://www.jiaokey.com/tag/王同建主编；张萃，陈伟副主编；陈晋市，王昕，宁悦参编；刘昕晖主审.html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