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科技查新典型案例解析</w:t>
      </w:r>
    </w:p>
    <w:p>
      <w:r>
        <w:rPr>
          <w:rFonts w:ascii="宋体" w:hAnsi="宋体" w:eastAsia="宋体"/>
          <w:sz w:val="24"/>
        </w:rPr>
        <w:t>北京高科大学联盟组织编写；杨守文，杨健安主编；高彦静副主编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科技查新典型案例解析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北京高科大学联盟组织编写；杨守文，杨健安主编；高彦静副主编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本书出售、求购地址：https://www.jiaokey.com/book/detail/13675959.html</w:t>
      </w:r>
    </w:p>
    <w:p>
      <w:r>
        <w:t>更多相关图书推荐：https://www.jiaokey.com</w:t>
      </w:r>
    </w:p>
    <w:p>
      <w:r>
        <w:t>北京高科大学联盟组织编写；杨守文，杨健安主编；高彦静副主编 其他作品：https://www.jiaokey.com/tag/北京高科大学联盟组织编写；杨守文，杨健安主编；高彦静副主编.html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关键词搜索：https://www.jiaokey.com/tag/科技查新典型案例解析.html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