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最新《司法鉴定程序通则》贯彻实施与司法鉴定技术操作规程及常用标准法规大全  下</w:t>
      </w:r>
    </w:p>
    <w:p>
      <w:r>
        <w:rPr>
          <w:rFonts w:ascii="宋体" w:hAnsi="宋体" w:eastAsia="宋体"/>
          <w:sz w:val="24"/>
        </w:rPr>
        <w:t>沈文明主编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最新《司法鉴定程序通则》贯彻实施与司法鉴定技术操作规程及常用标准法规大全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本书出售、求购地址：https://www.jiaokey.com/book/detail/13679709.html</w:t>
      </w:r>
    </w:p>
    <w:p>
      <w:r>
        <w:t>更多相关图书推荐：https://www.jiaokey.com</w:t>
      </w:r>
    </w:p>
    <w:p>
      <w:r>
        <w:t>沈文明主编 其他作品：https://www.jiaokey.com/tag/沈文明主编.html</w:t>
      </w:r>
    </w:p>
    <w:p>
      <w:r>
        <w:t>中国法律出版社 出版图书：https://www.jiaokey.com/tag/中国法律出版社.html</w:t>
      </w:r>
    </w:p>
    <w:p>
      <w:r>
        <w:t>关键词搜索：https://www.jiaokey.com/tag/最新《司法鉴定程序通则》贯彻实施与司法鉴定技术操作规程及常用标准法规大全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