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历史深处的民国  2  共和</w:t>
      </w:r>
    </w:p>
    <w:p>
      <w:r>
        <w:rPr>
          <w:rFonts w:ascii="宋体" w:hAnsi="宋体" w:eastAsia="宋体"/>
          <w:sz w:val="24"/>
        </w:rPr>
        <w:t>江城 著 · 教客网电子书</w:t>
      </w:r>
    </w:p>
    <w:p>
      <w:r>
        <w:t>找书就上教客网 —— www.jiaokey.com</w:t>
      </w:r>
    </w:p>
    <w:p/>
    <w:p>
      <w:r>
        <w:drawing>
          <wp:inline xmlns:a="http://schemas.openxmlformats.org/drawingml/2006/main" xmlns:pic="http://schemas.openxmlformats.org/drawingml/2006/picture">
            <wp:extent cx="2743200" cy="3795104"/>
            <wp:docPr id="1" name="Picture 1"/>
            <wp:cNvGraphicFramePr>
              <a:graphicFrameLocks noChangeAspect="1"/>
            </wp:cNvGraphicFramePr>
            <a:graphic>
              <a:graphicData uri="http://schemas.openxmlformats.org/drawingml/2006/picture">
                <pic:pic>
                  <pic:nvPicPr>
                    <pic:cNvPr id="0" name="13690337.jpg"/>
                    <pic:cNvPicPr/>
                  </pic:nvPicPr>
                  <pic:blipFill>
                    <a:blip r:embed="rId9"/>
                    <a:stretch>
                      <a:fillRect/>
                    </a:stretch>
                  </pic:blipFill>
                  <pic:spPr>
                    <a:xfrm>
                      <a:off x="0" y="0"/>
                      <a:ext cx="2743200" cy="379510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历史深处的民国  2  共和</w:t>
            </w:r>
          </w:p>
        </w:tc>
      </w:tr>
      <w:tr>
        <w:tc>
          <w:tcPr>
            <w:tcW w:type="dxa" w:w="4320"/>
          </w:tcPr>
          <w:p>
            <w:r>
              <w:t>作者</w:t>
            </w:r>
          </w:p>
        </w:tc>
        <w:tc>
          <w:tcPr>
            <w:tcW w:type="dxa" w:w="4320"/>
          </w:tcPr>
          <w:p>
            <w:r>
              <w:t>江城</w:t>
            </w:r>
          </w:p>
        </w:tc>
      </w:tr>
      <w:tr>
        <w:tc>
          <w:tcPr>
            <w:tcW w:type="dxa" w:w="4320"/>
          </w:tcPr>
          <w:p>
            <w:r>
              <w:t>出版社</w:t>
            </w:r>
          </w:p>
        </w:tc>
        <w:tc>
          <w:tcPr>
            <w:tcW w:type="dxa" w:w="4320"/>
          </w:tcPr>
          <w:p>
            <w:r>
              <w:t>北京：华文出版社</w:t>
            </w:r>
          </w:p>
        </w:tc>
      </w:tr>
      <w:tr>
        <w:tc>
          <w:tcPr>
            <w:tcW w:type="dxa" w:w="4320"/>
          </w:tcPr>
          <w:p>
            <w:r>
              <w:t>ISBN</w:t>
            </w:r>
          </w:p>
        </w:tc>
        <w:tc>
          <w:tcPr>
            <w:tcW w:type="dxa" w:w="4320"/>
          </w:tcPr>
          <w:p>
            <w:r>
              <w:t>9787507542387</w:t>
            </w:r>
          </w:p>
        </w:tc>
      </w:tr>
      <w:tr>
        <w:tc>
          <w:tcPr>
            <w:tcW w:type="dxa" w:w="4320"/>
          </w:tcPr>
          <w:p>
            <w:r>
              <w:t>出版日期</w:t>
            </w:r>
          </w:p>
        </w:tc>
        <w:tc>
          <w:tcPr>
            <w:tcW w:type="dxa" w:w="4320"/>
          </w:tcPr>
          <w:p>
            <w:r>
              <w:t>2015-02-01</w:t>
            </w:r>
          </w:p>
        </w:tc>
      </w:tr>
      <w:tr>
        <w:tc>
          <w:tcPr>
            <w:tcW w:type="dxa" w:w="4320"/>
          </w:tcPr>
          <w:p>
            <w:r>
              <w:t>页数</w:t>
            </w:r>
          </w:p>
        </w:tc>
        <w:tc>
          <w:tcPr>
            <w:tcW w:type="dxa" w:w="4320"/>
          </w:tcPr>
          <w:p>
            <w:r>
              <w:t>300</w:t>
            </w:r>
          </w:p>
        </w:tc>
      </w:tr>
      <w:tr>
        <w:tc>
          <w:tcPr>
            <w:tcW w:type="dxa" w:w="4320"/>
          </w:tcPr>
          <w:p>
            <w:r>
              <w:t>价格</w:t>
            </w:r>
          </w:p>
        </w:tc>
        <w:tc>
          <w:tcPr>
            <w:tcW w:type="dxa" w:w="4320"/>
          </w:tcPr>
          <w:p>
            <w:r/>
          </w:p>
        </w:tc>
      </w:tr>
      <w:tr>
        <w:tc>
          <w:tcPr>
            <w:tcW w:type="dxa" w:w="4320"/>
          </w:tcPr>
          <w:p>
            <w:r>
              <w:t>关键词</w:t>
            </w:r>
          </w:p>
        </w:tc>
        <w:tc>
          <w:tcPr>
            <w:tcW w:type="dxa" w:w="4320"/>
          </w:tcPr>
          <w:p>
            <w:r>
              <w:t>中国历史-1911-1925-通俗读物-民国</w:t>
            </w:r>
          </w:p>
        </w:tc>
      </w:tr>
      <w:tr>
        <w:tc>
          <w:tcPr>
            <w:tcW w:type="dxa" w:w="4320"/>
          </w:tcPr>
          <w:p>
            <w:r>
              <w:t>分类</w:t>
            </w:r>
          </w:p>
        </w:tc>
        <w:tc>
          <w:tcPr>
            <w:tcW w:type="dxa" w:w="4320"/>
          </w:tcPr>
          <w:p>
            <w:r>
              <w:t>新民主主义革命时期（1919~1949年）</w:t>
            </w:r>
          </w:p>
        </w:tc>
      </w:tr>
    </w:tbl>
    <w:p/>
    <w:p>
      <w:pPr>
        <w:pStyle w:val="Heading1"/>
      </w:pPr>
      <w:r>
        <w:t>图书介绍</w:t>
      </w:r>
    </w:p>
    <w:p>
      <w:r>
        <w:t>这是一套关于1840～1945百年正史的彪悍史书。是中国历史上第一套全面解读晚清、共和、抗战的长篇历史力作。作者在精研民国史料的基础上，以尊重史实的严谨态度创作，以年代和具体人物为主线，用通俗易懂、幽默风趣的语言风格行笔，全新讲述了1840～1945这一百年间的一些我们熟悉的人做过的一些我们并不熟悉的事……第二部《共和》着重描述了1911到1925年前后，以袁世凯、段祺瑞、冯国璋、张作霖、吴佩孚、冯玉祥、阎锡山为代表的北洋势力和以孙中山、黄兴、宋教仁为首的革命势力为推动中国走向何方而先合作后斗争的故事。重点关注了辛亥革命为什么可以成功、宋教仁被刺案的真相、推动清王朝倒掉的北洋势力从内斗走向灭亡以及革命派为理想中的共和国而作出的不懈努力。从不同的角度还原了不同群体在那个时代的不同政治追求与爱恨情仇，被蓄意掩盖的历史隐秘得到了充分揭示。书中精彩语录：文学社，一个小清新的名字，看上去好像是个文艺青年发起的组织，其实恰恰相反，它非但不文艺还很暴力，完全是以新军士兵为主体的军中革命组织。战争与和平的区别，就是一顿揍的距离。“二次革命”失败后，孙中山、黄兴、陈其美、李烈钧、柏文蔚等人只好重新开始他们的流亡生涯。流亡并不痛苦，但失去人心很痛苦。黎元洪到达北京时，袁大总统已给他安排好了住处——中南海瀛台，当年慈禧太后软禁光绪皇帝的地方。此住处寓意生动，寄寓了袁大总统对黎副总统的殷切期望。好在黎副总统的理解能力也很出众，他没让袁大总统失望，自此在瀛台过起了吃干饭混日子的幸福生活。在日本流浪了近十五年的康有为于1913年回国，之后一直打着支援文化建设的幌子，暗地里图谋拥护溥仪复辟。十多年过去后，康有为的思想硬是一点都没有得到解放，连徒弟梁启超都思想转弯支持共和了，他还是那么保守，誓将保皇事业进行到底。开这个会的原因很简单——日本在中国的扩张速度过快，影响了美、英、法等国在中国的利益。于是在美国的牵头之下，众列强一拍脑袋，决定把日本拉过来敲打敲打，让它放老实点，要是不听话那就一起上去揍它。“门户开放”本质上是一种权宜之计。美国在没有实力独占中国的时候，就拉上几个哥们儿一块儿控制中国，利益均沾，不让一家独大。毕竟稳定的局面比较适合大家一起发财。但在二战结束后，当美国成为世界霸主时，它就再也不提“门户开放”了。看来国与国之间没有永恒的朋友，也没有永恒的敌人，只有永恒的利益。残阳如血，苍穹低垂，回望自己几十年的峥嵘岁月，他决定用下面这句话为自己的一生画上句点：为日本去一大敌，看中国再造共和！1916年6月6日，袁世凯带着无尽骂名去世，时年57岁，他也没能打破袁家牛人活不过58岁的纪录。就在跟孙中山交往越来越密切时，蒋介石给自己取了表字——中正。这是一个精明的决定。中正与中山很接近，让人觉得他俩关系密切。而且中正还有正直、公正、正统的意思，给人的印象似乎他就是孙中山先生的继承人。一个连续奋斗近四十年、从英姿勃发的青年一直奋斗到生命的最后关头仍不言放弃的人，难道不是英雄吗？！无数次的失败丝毫没有削弱他的勇气，每次他都以百倍的勇气重新站立起来，率领他的支持者们发起又一次进攻。他一次次倒下，再一次次站起。只要还能够站起来继续战斗，那么战斗就没有结束。孙中山从没有败给任何对手，他只是输给了时间。</w:t>
      </w:r>
    </w:p>
    <w:p/>
    <w:p>
      <w:r>
        <w:t>本书出售、求购地址：https://www.jiaokey.com/book/detail/13690337.html</w:t>
      </w:r>
    </w:p>
    <w:p>
      <w:r>
        <w:t>更多新民主主义革命时期（1919~1949年）图书推荐：https://www.jiaokey.com</w:t>
      </w:r>
    </w:p>
    <w:p>
      <w:r>
        <w:t>江城 其他作品：https://www.jiaokey.com/tag/江城.html</w:t>
      </w:r>
    </w:p>
    <w:p>
      <w:r>
        <w:t>北京：华文出版社 出版图书：https://www.jiaokey.com/tag/北京：华文出版社.html</w:t>
      </w:r>
    </w:p>
    <w:p>
      <w:r>
        <w:t>关键词搜索：https://www.jiaokey.com/tag/中国历史-1911-1925-通俗读物-民国.html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