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国际投资法原则  原书第2版</w:t>
      </w:r>
    </w:p>
    <w:p>
      <w:r>
        <w:rPr>
          <w:rFonts w:ascii="宋体" w:hAnsi="宋体" w:eastAsia="宋体"/>
          <w:sz w:val="24"/>
        </w:rPr>
        <w:t>（德）鲁道夫·多尔查，（奥）克里斯托弗·朔伊尔编；祁欢，施进译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国际投资法原则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（德）鲁道夫·多尔查，（奥）克里斯托弗·朔伊尔编；祁欢，施进译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本书出售、求购地址：https://www.jiaokey.com/book/detail/13699212.html</w:t>
      </w:r>
    </w:p>
    <w:p>
      <w:r>
        <w:t>更多相关图书推荐：https://www.jiaokey.com</w:t>
      </w:r>
    </w:p>
    <w:p>
      <w:r>
        <w:t>（德）鲁道夫·多尔查，（奥）克里斯托弗·朔伊尔编；祁欢，施进译 其他作品：https://www.jiaokey.com/tag/（德）鲁道夫·多尔查，（奥）克里斯托弗·朔伊尔编；祁欢，施进译.html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关键词搜索：https://www.jiaokey.com/tag/国际投资法原则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