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互感器设计</w:t>
      </w:r>
    </w:p>
    <w:p>
      <w:r>
        <w:rPr>
          <w:rFonts w:ascii="宋体" w:hAnsi="宋体" w:eastAsia="宋体"/>
          <w:sz w:val="24"/>
        </w:rPr>
        <w:t>张军，肖耀荣，刘在勤编著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互感器设计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张军，肖耀荣，刘在勤编著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沈阳变压器研究所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本书出售、求购地址：https://www.jiaokey.com/book/detail/13702053.html</w:t>
      </w:r>
    </w:p>
    <w:p>
      <w:r>
        <w:t>更多相关图书推荐：https://www.jiaokey.com</w:t>
      </w:r>
    </w:p>
    <w:p>
      <w:r>
        <w:t>张军，肖耀荣，刘在勤编著 其他作品：https://www.jiaokey.com/tag/张军，肖耀荣，刘在勤编著.html</w:t>
      </w:r>
    </w:p>
    <w:p>
      <w:r>
        <w:t>沈阳变压器研究所 出版图书：https://www.jiaokey.com/tag/沈阳变压器研究所.html</w:t>
      </w:r>
    </w:p>
    <w:p>
      <w:r>
        <w:t>关键词搜索：https://www.jiaokey.com/tag/互感器设计.html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