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  理论、实务、案例</w:t>
      </w:r>
    </w:p>
    <w:p>
      <w:r>
        <w:rPr>
          <w:rFonts w:ascii="宋体" w:hAnsi="宋体" w:eastAsia="宋体"/>
          <w:sz w:val="24"/>
        </w:rPr>
        <w:t>时秀梅，李毅主编；周燕华，苑莹，颜实等副主编；栾华主审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  理论、实务、案例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时秀梅，李毅主编；周燕华，苑莹，颜实等副主编；栾华主审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本书出售、求购地址：https://www.jiaokey.com/book/detail/13712526.html</w:t>
      </w:r>
    </w:p>
    <w:p>
      <w:r>
        <w:t>更多相关图书推荐：https://www.jiaokey.com</w:t>
      </w:r>
    </w:p>
    <w:p>
      <w:r>
        <w:t>时秀梅，李毅主编；周燕华，苑莹，颜实等副主编；栾华主审 其他作品：https://www.jiaokey.com/tag/时秀梅，李毅主编；周燕华，苑莹，颜实等副主编；栾华主审.html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关键词搜索：https://www.jiaokey.com/tag/跨国公司管理  理论、实务、案例.html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