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文学评论之原理</w:t>
      </w:r>
    </w:p>
    <w:p>
      <w:r>
        <w:rPr>
          <w:rFonts w:ascii="宋体" w:hAnsi="宋体" w:eastAsia="宋体"/>
          <w:sz w:val="24"/>
        </w:rPr>
        <w:t>Winchester原著；景昌恒，钱坤新译；梅光迪校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文学评论之原理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Winchester原著；景昌恒，钱坤新译；梅光迪校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本书出售、求购地址：https://www.jiaokey.com/book/detail/13713192.html</w:t>
      </w:r>
    </w:p>
    <w:p>
      <w:r>
        <w:t>更多相关图书推荐：https://www.jiaokey.com</w:t>
      </w:r>
    </w:p>
    <w:p>
      <w:r>
        <w:t>Winchester原著；景昌恒，钱坤新译；梅光迪校 其他作品：https://www.jiaokey.com/tag/Winchester原著；景昌恒，钱坤新译；梅光迪校.html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关键词搜索：https://www.jiaokey.com/tag/文学评论之原理.html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