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血管外科围术期处理</w:t>
      </w:r>
    </w:p>
    <w:p>
      <w:r>
        <w:rPr>
          <w:rFonts w:ascii="宋体" w:hAnsi="宋体" w:eastAsia="宋体"/>
          <w:sz w:val="24"/>
        </w:rPr>
        <w:t>金中奎，宋盛晗，林晶主编；张望德，叶志东，郭连瑞等副主编；于泽兴，王云，叶志东等编者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血管外科围术期处理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金中奎，宋盛晗，林晶主编；张望德，叶志东，郭连瑞等副主编；于泽兴，王云，叶志东等编者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本书出售、求购地址：https://www.jiaokey.com/book/detail/13725985.html</w:t>
      </w:r>
    </w:p>
    <w:p>
      <w:r>
        <w:t>更多相关图书推荐：https://www.jiaokey.com</w:t>
      </w:r>
    </w:p>
    <w:p>
      <w:r>
        <w:t>金中奎，宋盛晗，林晶主编；张望德，叶志东，郭连瑞等副主编；于泽兴，王云，叶志东等编者 其他作品：https://www.jiaokey.com/tag/金中奎，宋盛晗，林晶主编；张望德，叶志东，郭连瑞等副主编；于泽兴，王云，叶志东等编者.html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关键词搜索：https://www.jiaokey.com/tag/血管外科围术期处理.html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