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建行党建与科学管理  党的建设与管理演讲集</w:t>
      </w:r>
    </w:p>
    <w:p>
      <w:r>
        <w:rPr>
          <w:rFonts w:ascii="宋体" w:hAnsi="宋体" w:eastAsia="宋体"/>
          <w:sz w:val="24"/>
        </w:rPr>
        <w:t>中国建设银行三峡分行编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建行党建与科学管理  党的建设与管理演讲集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中国建设银行三峡分行编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葛洲坝集团公司印刷厂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本书出售、求购地址：https://www.jiaokey.com/book/detail/13731607.html</w:t>
      </w:r>
    </w:p>
    <w:p>
      <w:r>
        <w:t>更多相关图书推荐：https://www.jiaokey.com</w:t>
      </w:r>
    </w:p>
    <w:p>
      <w:r>
        <w:t>中国建设银行三峡分行编 其他作品：https://www.jiaokey.com/tag/中国建设银行三峡分行编.html</w:t>
      </w:r>
    </w:p>
    <w:p>
      <w:r>
        <w:t>葛洲坝集团公司印刷厂 出版图书：https://www.jiaokey.com/tag/葛洲坝集团公司印刷厂.html</w:t>
      </w:r>
    </w:p>
    <w:p>
      <w:r>
        <w:t>关键词搜索：https://www.jiaokey.com/tag/建行党建与科学管理  党的建设与管理演讲集.html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