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消去和投入打法</w:t>
      </w:r>
    </w:p>
    <w:p>
      <w:r>
        <w:rPr>
          <w:rFonts w:ascii="宋体" w:hAnsi="宋体" w:eastAsia="宋体"/>
          <w:sz w:val="24"/>
        </w:rPr>
        <w:t>（英）大卫·伯德，（英）马克·史密斯著；连若旸，刘英皓，李依婷译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消去和投入打法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（英）大卫·伯德，（英）马克·史密斯著；连若旸，刘英皓，李依婷译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本书出售、求购地址：https://www.jiaokey.com/book/detail/13744508.html</w:t>
      </w:r>
    </w:p>
    <w:p>
      <w:r>
        <w:t>更多相关图书推荐：https://www.jiaokey.com</w:t>
      </w:r>
    </w:p>
    <w:p>
      <w:r>
        <w:t>（英）大卫·伯德，（英）马克·史密斯著；连若旸，刘英皓，李依婷译 其他作品：https://www.jiaokey.com/tag/（英）大卫·伯德，（英）马克·史密斯著；连若旸，刘英皓，李依婷译.html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关键词搜索：https://www.jiaokey.com/tag/消去和投入打法.html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