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  2011  第1卷</w:t>
      </w:r>
    </w:p>
    <w:p>
      <w:r>
        <w:rPr>
          <w:rFonts w:ascii="宋体" w:hAnsi="宋体" w:eastAsia="宋体"/>
          <w:sz w:val="24"/>
        </w:rPr>
        <w:t>褚水敖，陈鹏举主编；严建平，杨峥，胡中行副主编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  2011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褚水敖，陈鹏举主编；严建平，杨峥，胡中行副主编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本书出售、求购地址：https://www.jiaokey.com/book/detail/13765294.html</w:t>
      </w:r>
    </w:p>
    <w:p>
      <w:r>
        <w:t>更多相关图书推荐：https://www.jiaokey.com</w:t>
      </w:r>
    </w:p>
    <w:p>
      <w:r>
        <w:t>褚水敖，陈鹏举主编；严建平，杨峥，胡中行副主编 其他作品：https://www.jiaokey.com/tag/褚水敖，陈鹏举主编；严建平，杨峥，胡中行副主编.html</w:t>
      </w:r>
    </w:p>
    <w:p>
      <w:r>
        <w:t>上海:文汇出版社,2011.05 出版图书：https://www.jiaokey.com/tag/上海:文汇出版社,2011.05.html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