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商标侵害与救济之实务及策略</w:t>
      </w:r>
    </w:p>
    <w:p>
      <w:r>
        <w:rPr>
          <w:rFonts w:ascii="宋体" w:hAnsi="宋体" w:eastAsia="宋体"/>
          <w:sz w:val="24"/>
        </w:rPr>
        <w:t>陈昭华编著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商标侵害与救济之实务及策略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陈昭华编著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经济部智慧局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本书出售、求购地址：https://www.jiaokey.com/book/detail/13770022.html</w:t>
      </w:r>
    </w:p>
    <w:p>
      <w:r>
        <w:t>更多相关图书推荐：https://www.jiaokey.com</w:t>
      </w:r>
    </w:p>
    <w:p>
      <w:r>
        <w:t>陈昭华编著 其他作品：https://www.jiaokey.com/tag/陈昭华编著.html</w:t>
      </w:r>
    </w:p>
    <w:p>
      <w:r>
        <w:t>经济部智慧局 出版图书：https://www.jiaokey.com/tag/经济部智慧局.html</w:t>
      </w:r>
    </w:p>
    <w:p>
      <w:r>
        <w:t>关键词搜索：https://www.jiaokey.com/tag/商标侵害与救济之实务及策略.html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