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主题式环境教育活动设计  长江水学校活动设计案例</w:t>
      </w:r>
    </w:p>
    <w:p>
      <w:r>
        <w:rPr>
          <w:rFonts w:ascii="宋体" w:hAnsi="宋体" w:eastAsia="宋体"/>
          <w:sz w:val="24"/>
        </w:rPr>
        <w:t>长江水学校编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主题式环境教育活动设计  长江水学校活动设计案例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本书出售、求购地址：https://www.jiaokey.com/book/detail/13846158.html</w:t>
      </w:r>
    </w:p>
    <w:p>
      <w:r>
        <w:t>更多相关图书推荐：https://www.jiaokey.com</w:t>
      </w:r>
    </w:p>
    <w:p>
      <w:r>
        <w:t>长江水学校编 其他作品：https://www.jiaokey.com/tag/长江水学校编.html</w:t>
      </w:r>
    </w:p>
    <w:p>
      <w:r>
        <w:t>北京：中国环境出版社 出版图书：https://www.jiaokey.com/tag/北京：中国环境出版社.html</w:t>
      </w:r>
    </w:p>
    <w:p>
      <w:r>
        <w:t>关键词搜索：https://www.jiaokey.com/tag/主题式环境教育活动设计  长江水学校活动设计案例.html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